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718" w:rsidRDefault="00A81718" w:rsidP="00A81718">
      <w:pPr>
        <w:jc w:val="right"/>
      </w:pPr>
      <w:r>
        <w:t>Valstybinių ir savivaldybių švietimo</w:t>
      </w:r>
    </w:p>
    <w:p w:rsidR="00A81718" w:rsidRDefault="00A81718" w:rsidP="00A81718">
      <w:pPr>
        <w:tabs>
          <w:tab w:val="left" w:pos="6804"/>
        </w:tabs>
        <w:ind w:left="5529"/>
      </w:pPr>
      <w:r>
        <w:t>įstaigų (išskyrus aukštąsias mokyklas)</w:t>
      </w:r>
    </w:p>
    <w:p w:rsidR="00A81718" w:rsidRDefault="00A81718" w:rsidP="00A81718">
      <w:pPr>
        <w:tabs>
          <w:tab w:val="left" w:pos="6804"/>
        </w:tabs>
        <w:ind w:left="5529"/>
      </w:pPr>
      <w:r>
        <w:t>vadovų, jų pavaduotojų ugdymui, ugdymą</w:t>
      </w:r>
    </w:p>
    <w:p w:rsidR="00A81718" w:rsidRDefault="00A81718" w:rsidP="00A81718">
      <w:pPr>
        <w:tabs>
          <w:tab w:val="left" w:pos="6804"/>
        </w:tabs>
        <w:ind w:left="5529"/>
      </w:pPr>
      <w:r>
        <w:t>organizuojančių skyrių vedėjų veiklos</w:t>
      </w:r>
    </w:p>
    <w:p w:rsidR="00A81718" w:rsidRDefault="00A81718" w:rsidP="00A81718">
      <w:pPr>
        <w:tabs>
          <w:tab w:val="left" w:pos="6804"/>
        </w:tabs>
        <w:ind w:left="5529"/>
        <w:rPr>
          <w:szCs w:val="24"/>
          <w:lang w:eastAsia="lt-LT"/>
        </w:rPr>
      </w:pPr>
      <w:r>
        <w:t>vertinimo nuostatų</w:t>
      </w:r>
    </w:p>
    <w:p w:rsidR="00A81718" w:rsidRDefault="00A81718" w:rsidP="00A81718">
      <w:pPr>
        <w:tabs>
          <w:tab w:val="left" w:pos="6804"/>
        </w:tabs>
        <w:ind w:left="5529"/>
        <w:rPr>
          <w:szCs w:val="24"/>
          <w:lang w:eastAsia="ar-SA"/>
        </w:rPr>
      </w:pPr>
      <w:r>
        <w:rPr>
          <w:szCs w:val="24"/>
          <w:lang w:eastAsia="ar-SA"/>
        </w:rPr>
        <w:t>1 priedas</w:t>
      </w:r>
    </w:p>
    <w:p w:rsidR="00A81718" w:rsidRDefault="00A81718" w:rsidP="00A81718">
      <w:pPr>
        <w:tabs>
          <w:tab w:val="left" w:pos="6237"/>
          <w:tab w:val="right" w:pos="8306"/>
        </w:tabs>
        <w:rPr>
          <w:szCs w:val="24"/>
        </w:rPr>
      </w:pPr>
    </w:p>
    <w:p w:rsidR="00A81718" w:rsidRDefault="00A81718" w:rsidP="00A81718">
      <w:pPr>
        <w:tabs>
          <w:tab w:val="left" w:pos="14656"/>
        </w:tabs>
        <w:jc w:val="center"/>
        <w:rPr>
          <w:szCs w:val="24"/>
          <w:u w:val="single"/>
          <w:lang w:eastAsia="lt-LT"/>
        </w:rPr>
      </w:pPr>
      <w:r>
        <w:rPr>
          <w:szCs w:val="24"/>
          <w:u w:val="single"/>
          <w:lang w:eastAsia="lt-LT"/>
        </w:rPr>
        <w:t>VARĖNOS „ŽILVIČIO“</w:t>
      </w:r>
      <w:r w:rsidR="003D3424">
        <w:rPr>
          <w:szCs w:val="24"/>
          <w:u w:val="single"/>
          <w:lang w:eastAsia="lt-LT"/>
        </w:rPr>
        <w:t xml:space="preserve"> </w:t>
      </w:r>
      <w:r>
        <w:rPr>
          <w:szCs w:val="24"/>
          <w:u w:val="single"/>
          <w:lang w:eastAsia="lt-LT"/>
        </w:rPr>
        <w:t>VAIKŲ LOPŠELIO-DARŽELIO</w:t>
      </w:r>
    </w:p>
    <w:p w:rsidR="00A81718" w:rsidRDefault="00A81718" w:rsidP="00A81718">
      <w:pPr>
        <w:tabs>
          <w:tab w:val="left" w:pos="14656"/>
        </w:tabs>
        <w:jc w:val="center"/>
        <w:rPr>
          <w:sz w:val="20"/>
          <w:lang w:eastAsia="lt-LT"/>
        </w:rPr>
      </w:pPr>
      <w:r>
        <w:rPr>
          <w:sz w:val="20"/>
          <w:lang w:eastAsia="lt-LT"/>
        </w:rPr>
        <w:t>(švietimo įstaigos pavadinimas)</w:t>
      </w:r>
    </w:p>
    <w:p w:rsidR="00A81718" w:rsidRDefault="00A81718" w:rsidP="00A81718">
      <w:pPr>
        <w:tabs>
          <w:tab w:val="left" w:pos="14656"/>
        </w:tabs>
        <w:jc w:val="center"/>
        <w:rPr>
          <w:szCs w:val="24"/>
          <w:u w:val="single"/>
          <w:lang w:eastAsia="lt-LT"/>
        </w:rPr>
      </w:pPr>
      <w:r>
        <w:rPr>
          <w:szCs w:val="24"/>
          <w:u w:val="single"/>
          <w:lang w:eastAsia="lt-LT"/>
        </w:rPr>
        <w:t>DIREKTORĖS RIMUTĖS LATVIENĖS</w:t>
      </w:r>
    </w:p>
    <w:p w:rsidR="00A81718" w:rsidRDefault="00A81718" w:rsidP="00A81718">
      <w:pPr>
        <w:jc w:val="center"/>
        <w:rPr>
          <w:sz w:val="20"/>
          <w:lang w:eastAsia="lt-LT"/>
        </w:rPr>
      </w:pPr>
      <w:r>
        <w:rPr>
          <w:sz w:val="20"/>
          <w:lang w:eastAsia="lt-LT"/>
        </w:rPr>
        <w:t>(švietimo įstaigos vadovo vardas ir pavardė)</w:t>
      </w:r>
    </w:p>
    <w:p w:rsidR="00A81718" w:rsidRDefault="00A81718" w:rsidP="00A81718">
      <w:pPr>
        <w:jc w:val="center"/>
        <w:rPr>
          <w:b/>
          <w:szCs w:val="24"/>
          <w:lang w:eastAsia="lt-LT"/>
        </w:rPr>
      </w:pPr>
      <w:r>
        <w:rPr>
          <w:b/>
          <w:szCs w:val="24"/>
          <w:lang w:eastAsia="lt-LT"/>
        </w:rPr>
        <w:t>2025 METŲ VEIKLOS ATASKAITA</w:t>
      </w:r>
    </w:p>
    <w:p w:rsidR="00A81718" w:rsidRDefault="00A81718" w:rsidP="00A81718">
      <w:pPr>
        <w:jc w:val="center"/>
        <w:rPr>
          <w:szCs w:val="24"/>
          <w:lang w:eastAsia="lt-LT"/>
        </w:rPr>
      </w:pPr>
    </w:p>
    <w:p w:rsidR="00A81718" w:rsidRDefault="00A81718" w:rsidP="00A81718">
      <w:pPr>
        <w:jc w:val="center"/>
        <w:rPr>
          <w:szCs w:val="24"/>
          <w:lang w:eastAsia="lt-LT"/>
        </w:rPr>
      </w:pPr>
      <w:r>
        <w:rPr>
          <w:szCs w:val="24"/>
          <w:u w:val="single"/>
          <w:lang w:eastAsia="lt-LT"/>
        </w:rPr>
        <w:t xml:space="preserve">                         </w:t>
      </w:r>
      <w:r>
        <w:rPr>
          <w:szCs w:val="24"/>
          <w:lang w:eastAsia="lt-LT"/>
        </w:rPr>
        <w:t xml:space="preserve">Nr. ________ </w:t>
      </w:r>
    </w:p>
    <w:p w:rsidR="00A81718" w:rsidRDefault="00A81718" w:rsidP="00A81718">
      <w:pPr>
        <w:tabs>
          <w:tab w:val="left" w:pos="3828"/>
        </w:tabs>
        <w:jc w:val="center"/>
        <w:rPr>
          <w:lang w:eastAsia="lt-LT"/>
        </w:rPr>
      </w:pPr>
    </w:p>
    <w:p w:rsidR="00A81718" w:rsidRDefault="00A81718" w:rsidP="00A81718">
      <w:pPr>
        <w:tabs>
          <w:tab w:val="left" w:pos="3828"/>
        </w:tabs>
        <w:jc w:val="center"/>
        <w:rPr>
          <w:szCs w:val="24"/>
          <w:u w:val="single"/>
          <w:lang w:eastAsia="lt-LT"/>
        </w:rPr>
      </w:pPr>
      <w:r>
        <w:rPr>
          <w:szCs w:val="24"/>
          <w:u w:val="single"/>
          <w:lang w:eastAsia="lt-LT"/>
        </w:rPr>
        <w:t>VARĖNA</w:t>
      </w:r>
    </w:p>
    <w:p w:rsidR="00A81718" w:rsidRDefault="00A81718" w:rsidP="00A81718">
      <w:pPr>
        <w:jc w:val="center"/>
        <w:rPr>
          <w:lang w:eastAsia="lt-LT"/>
        </w:rPr>
      </w:pPr>
    </w:p>
    <w:p w:rsidR="00A81718" w:rsidRDefault="00A81718" w:rsidP="00A81718">
      <w:pPr>
        <w:jc w:val="center"/>
        <w:rPr>
          <w:b/>
          <w:szCs w:val="24"/>
          <w:lang w:eastAsia="lt-LT"/>
        </w:rPr>
      </w:pPr>
      <w:r>
        <w:rPr>
          <w:b/>
          <w:szCs w:val="24"/>
          <w:lang w:eastAsia="lt-LT"/>
        </w:rPr>
        <w:t>I SKYRIUS</w:t>
      </w:r>
    </w:p>
    <w:p w:rsidR="00A81718" w:rsidRDefault="00A81718" w:rsidP="00A81718">
      <w:pPr>
        <w:jc w:val="center"/>
        <w:rPr>
          <w:b/>
          <w:szCs w:val="24"/>
          <w:lang w:eastAsia="lt-LT"/>
        </w:rPr>
      </w:pPr>
      <w:r>
        <w:rPr>
          <w:b/>
          <w:szCs w:val="24"/>
          <w:lang w:eastAsia="lt-LT"/>
        </w:rPr>
        <w:t>STRATEGINIO PLANO IR METINIO VEIKLOS PLANO ĮGYVENDINIMAS</w:t>
      </w:r>
    </w:p>
    <w:p w:rsidR="00A81718" w:rsidRDefault="00A81718" w:rsidP="00A81718">
      <w:pPr>
        <w:jc w:val="center"/>
        <w:rPr>
          <w:b/>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4"/>
      </w:tblGrid>
      <w:tr w:rsidR="00A81718" w:rsidTr="00A81718">
        <w:trPr>
          <w:trHeight w:val="4457"/>
        </w:trPr>
        <w:tc>
          <w:tcPr>
            <w:tcW w:w="9894" w:type="dxa"/>
            <w:tcBorders>
              <w:top w:val="single" w:sz="4" w:space="0" w:color="auto"/>
              <w:left w:val="single" w:sz="4" w:space="0" w:color="auto"/>
              <w:bottom w:val="single" w:sz="4" w:space="0" w:color="auto"/>
              <w:right w:val="single" w:sz="4" w:space="0" w:color="auto"/>
            </w:tcBorders>
          </w:tcPr>
          <w:p w:rsidR="00A81718" w:rsidRDefault="00A81718">
            <w:pPr>
              <w:spacing w:line="276" w:lineRule="auto"/>
              <w:ind w:firstLine="1137"/>
              <w:jc w:val="both"/>
              <w:rPr>
                <w:rFonts w:eastAsia="Calibri"/>
                <w:szCs w:val="24"/>
              </w:rPr>
            </w:pPr>
            <w:r>
              <w:rPr>
                <w:rFonts w:eastAsia="Calibri"/>
                <w:szCs w:val="24"/>
              </w:rPr>
              <w:t>2025-2027 metų Varėnos „Žilvičio“ vaikų lopšelio-darželio strateginiame ir metiniame veiklos plane</w:t>
            </w:r>
            <w:r>
              <w:rPr>
                <w:rFonts w:eastAsia="Calibri"/>
                <w:color w:val="FF0000"/>
                <w:szCs w:val="24"/>
              </w:rPr>
              <w:t xml:space="preserve"> </w:t>
            </w:r>
            <w:r>
              <w:rPr>
                <w:rFonts w:eastAsia="Calibri"/>
                <w:szCs w:val="24"/>
              </w:rPr>
              <w:t>iškeltas tikslas – teikti kokybišką ir visavertį ikimokyklinį, priešmokyklinį ugdymą kiekvienam ugdytiniui, puoselėti sveikos gyvensenos,</w:t>
            </w:r>
            <w:r>
              <w:t xml:space="preserve"> </w:t>
            </w:r>
            <w:r>
              <w:rPr>
                <w:rFonts w:eastAsia="Calibri"/>
                <w:szCs w:val="24"/>
              </w:rPr>
              <w:t>patirtinio ugdymo(si) nuostatas bei tikslingai siekti visapusiškos asmenybės ugdymo.</w:t>
            </w:r>
          </w:p>
          <w:p w:rsidR="00A81718" w:rsidRDefault="00A81718">
            <w:pPr>
              <w:spacing w:line="276" w:lineRule="auto"/>
              <w:jc w:val="both"/>
              <w:rPr>
                <w:szCs w:val="24"/>
              </w:rPr>
            </w:pPr>
            <w:r>
              <w:rPr>
                <w:rFonts w:eastAsia="Calibri"/>
                <w:szCs w:val="24"/>
              </w:rPr>
              <w:t xml:space="preserve">Rengiant lopšelio-darželio 2025–2027 metų strateginį ir veiklos planus buvo vadovautasi įstaigos veiklos kokybės įsivertinimo išvadomis, lopšelio-darželio veiklos ataskaita, atsižvelgta į lopšelio-darželio bendruomenės ir lopšelio-darželio tarybos siūlymus bei rekomendacijas. </w:t>
            </w:r>
            <w:r>
              <w:rPr>
                <w:szCs w:val="24"/>
              </w:rPr>
              <w:t xml:space="preserve">2025–2027 metais lopšelis-darželis planuoja ir toliau siekti šių strateginių ir veiklos tikslų: </w:t>
            </w:r>
          </w:p>
          <w:p w:rsidR="00A81718" w:rsidRDefault="00A81718">
            <w:pPr>
              <w:spacing w:line="276" w:lineRule="auto"/>
              <w:ind w:firstLine="720"/>
              <w:jc w:val="both"/>
              <w:rPr>
                <w:szCs w:val="24"/>
              </w:rPr>
            </w:pPr>
            <w:r>
              <w:rPr>
                <w:szCs w:val="24"/>
              </w:rPr>
              <w:t xml:space="preserve">         1.1. </w:t>
            </w:r>
            <w:r>
              <w:rPr>
                <w:szCs w:val="24"/>
                <w:lang w:eastAsia="lt-LT"/>
              </w:rPr>
              <w:t>Plėtoti inovatyvią švietimo, kultūros ir sporto sistemą, ugdančią aktyvią ir kūrybingą asmenybę</w:t>
            </w:r>
            <w:r>
              <w:rPr>
                <w:sz w:val="20"/>
                <w:lang w:eastAsia="lt-LT"/>
              </w:rPr>
              <w:t>.</w:t>
            </w:r>
            <w:r>
              <w:rPr>
                <w:szCs w:val="24"/>
              </w:rPr>
              <w:t xml:space="preserve"> (st); </w:t>
            </w:r>
          </w:p>
          <w:p w:rsidR="00A81718" w:rsidRDefault="00A81718">
            <w:pPr>
              <w:spacing w:line="276" w:lineRule="auto"/>
              <w:ind w:firstLine="720"/>
              <w:jc w:val="both"/>
              <w:rPr>
                <w:szCs w:val="24"/>
              </w:rPr>
            </w:pPr>
            <w:r>
              <w:rPr>
                <w:szCs w:val="24"/>
              </w:rPr>
              <w:tab/>
              <w:t xml:space="preserve">1.2. </w:t>
            </w:r>
            <w:r>
              <w:rPr>
                <w:szCs w:val="24"/>
                <w:lang w:eastAsia="lt-LT"/>
              </w:rPr>
              <w:t>Vystyti šiuolaikišką, modernią švietimo sistemą, užtikrinant ugdymo kokybę</w:t>
            </w:r>
          </w:p>
          <w:p w:rsidR="00A81718" w:rsidRDefault="00A81718">
            <w:pPr>
              <w:spacing w:line="276" w:lineRule="auto"/>
              <w:ind w:firstLine="720"/>
              <w:jc w:val="both"/>
              <w:rPr>
                <w:b/>
                <w:bCs/>
                <w:color w:val="000000"/>
                <w:szCs w:val="24"/>
              </w:rPr>
            </w:pPr>
            <w:r>
              <w:rPr>
                <w:szCs w:val="24"/>
              </w:rPr>
              <w:tab/>
              <w:t>1.3. Užtikrinti mokytojų ir tėvų veiklos dermę, skatinant vaiko pasiekimus ir juos vertinant, ugdant aktyvią ir kūrybingą asmenybę.</w:t>
            </w:r>
            <w:r>
              <w:rPr>
                <w:rFonts w:eastAsia="Calibri"/>
                <w:szCs w:val="24"/>
              </w:rPr>
              <w:t xml:space="preserve">. </w:t>
            </w:r>
          </w:p>
          <w:p w:rsidR="00A81718" w:rsidRDefault="00A81718">
            <w:pPr>
              <w:spacing w:line="276" w:lineRule="auto"/>
              <w:ind w:firstLine="1137"/>
              <w:jc w:val="both"/>
              <w:rPr>
                <w:rFonts w:eastAsia="Calibri"/>
                <w:szCs w:val="24"/>
              </w:rPr>
            </w:pPr>
            <w:r>
              <w:rPr>
                <w:rFonts w:eastAsia="Calibri"/>
                <w:szCs w:val="24"/>
              </w:rPr>
              <w:t>Siekiant šių tikslų ir atsižvelgiant į esamą situaciją, buvo išskirti 2025 metų veiklos prioritetai, kuriais vadovaujantis lėšos skirtos ugdymo prieinamumo organizavimo įvairovei ir  ugdymo kokybei lopšelyje-darželyje užtikrinti; įtraukiojo ugdymo plėtrai, pritaikant įstaigos infrastruktūrą specialiųjų poreikių</w:t>
            </w:r>
            <w:r>
              <w:rPr>
                <w:rFonts w:eastAsia="Calibri"/>
                <w:color w:val="FF0000"/>
                <w:szCs w:val="24"/>
              </w:rPr>
              <w:t xml:space="preserve"> </w:t>
            </w:r>
            <w:r>
              <w:rPr>
                <w:rFonts w:eastAsia="Calibri"/>
                <w:szCs w:val="24"/>
              </w:rPr>
              <w:t>turintiems vaikams, išnaudojant erdves, aprūpinant šiuolaikinėmis moderniomis priemonėmis bei užtikrinant kokybišką specialių poreikių turinčių mokinių ugdymą.</w:t>
            </w:r>
          </w:p>
          <w:p w:rsidR="00A81718" w:rsidRDefault="00A81718">
            <w:pPr>
              <w:spacing w:line="276" w:lineRule="auto"/>
              <w:ind w:firstLine="1137"/>
              <w:jc w:val="both"/>
              <w:rPr>
                <w:rFonts w:eastAsia="Calibri"/>
                <w:szCs w:val="24"/>
              </w:rPr>
            </w:pPr>
            <w:r>
              <w:rPr>
                <w:rFonts w:eastAsia="Calibri"/>
                <w:szCs w:val="24"/>
              </w:rPr>
              <w:t xml:space="preserve">Numatyti plane vertinimo kriterijai pasiekti. 2025 m. įstaigą lankė 193 ugdytiniai, veikė 10 grupių, kurios sudarytos pagal vaikų amžių. Panočių ikimokyklinį ir priešmokyklinį ugdymo skyrių lankė 8 vaikai, iš kurių vienas ugdytinis turintis didelių poreikių. Lopšelyje-darželyje specialiųjų poreikių turintiems vaikams (11 vaikų, turintiems didelių SUP) buvo teikiama pagalba – logopedo, mokytojo padėjėjo, neformaliojo švietimo (kūno kultūros), meninio (muzikos) mokytojo. Džiugu, kad 2 ugdytiniai </w:t>
            </w:r>
            <w:r>
              <w:rPr>
                <w:color w:val="000000"/>
              </w:rPr>
              <w:t>VI Lietuvos vaikų ir jaunimo įtraukaus muzikavimo konkurse – festivalyje ,,Perliukai“ laimėjo pirmos ir trečios premijos diplomus.</w:t>
            </w:r>
            <w:r>
              <w:rPr>
                <w:rFonts w:eastAsia="Calibri"/>
                <w:szCs w:val="24"/>
              </w:rPr>
              <w:t xml:space="preserve"> Įstaigoje ugdymas vyko pagal atnaujintą Priešmokyklinio ugdymo programą, pritaikant metodinių leidinių medžiagą. Rengiant ilgalaikius bei </w:t>
            </w:r>
            <w:r>
              <w:rPr>
                <w:rFonts w:eastAsia="Calibri"/>
                <w:szCs w:val="24"/>
              </w:rPr>
              <w:lastRenderedPageBreak/>
              <w:t>trumpalaikius planus, naudojamasi Nacionalinės švietimo agentūros projekto „Inovacijos vaikų darželyje“ išleistais metodiniais leidiniais „Patirčių erdvės“ bei „Žaismė ir atradimai“.</w:t>
            </w:r>
          </w:p>
          <w:p w:rsidR="00A81718" w:rsidRDefault="00A81718">
            <w:pPr>
              <w:spacing w:line="276" w:lineRule="auto"/>
              <w:jc w:val="both"/>
              <w:rPr>
                <w:rFonts w:eastAsia="Calibri"/>
                <w:szCs w:val="24"/>
              </w:rPr>
            </w:pPr>
            <w:r>
              <w:rPr>
                <w:rFonts w:eastAsia="Calibri"/>
                <w:szCs w:val="24"/>
              </w:rPr>
              <w:t>Nuo 2015 metų esame Nacionalinio sveikatą stiprinančių mokyklų tinklo nariai, integruojama 2024–2029 metų sveikatos stiprinimo programa „Aš ir tu – augame sveiki kartu“,</w:t>
            </w:r>
            <w:r>
              <w:rPr>
                <w:rFonts w:eastAsia="Calibri"/>
                <w:color w:val="C00000"/>
                <w:szCs w:val="24"/>
              </w:rPr>
              <w:t xml:space="preserve"> </w:t>
            </w:r>
            <w:r>
              <w:rPr>
                <w:rFonts w:eastAsia="Calibri"/>
                <w:szCs w:val="24"/>
              </w:rPr>
              <w:t>kitos integralią asmenybę ugdančios programos: tarptautinė programa „Zipio draugai“, emocijų ugdymo programa „Kimochis“, „Alkoholio, tabako ir kitų psichiką veikiančių medžiagų vartojimo prevencijos programa“, taikomas Reggio Emilia ikimokyklinio ugdymo metodas. Dalyvaujame ilgalaikiuose respublikiniuose projektuose „Sveikatiada“, „Lietuvos mažųjų žaidynės“. Dalyvaujama „Pienas vaikams“ bei „Vaisių vartojimo mokykloms skatinimo“ programose. Vyko įvairios edukacinės programos.</w:t>
            </w:r>
          </w:p>
          <w:p w:rsidR="00A81718" w:rsidRDefault="00A81718">
            <w:pPr>
              <w:spacing w:line="276" w:lineRule="auto"/>
              <w:jc w:val="both"/>
              <w:rPr>
                <w:rFonts w:eastAsia="Calibri"/>
                <w:szCs w:val="24"/>
              </w:rPr>
            </w:pPr>
            <w:r>
              <w:rPr>
                <w:rFonts w:eastAsia="Calibri"/>
                <w:szCs w:val="24"/>
              </w:rPr>
              <w:t>Naujas įstaigos pažangos rodiklis – dalyvavimas projektuose Erasmus+. 2024 m. gruodžio 11 dieną pasirašyta sutartis su Nacionalinės agentūros VšĮ „Švietimo mainų paramos fondu“ dėl Erasmus+ projekto „Pirmieji žingsniai sveiko gyvenimo link“. Pagrindinis projekto tikslas – ugdyti sveikos gyvensenos įpročius lopšelio-darželio vaikams, siekiant sukurti tvarią programą įstaigoje, orientuotą į fizinį aktyvumą, sveiką mitybą. 2025m.balandžio mėnesį 6 mokytojai dalyvavo stažuotėje Turkijoje „Pixel akademijoje“. Dalyvavimas projekte praplėtė visų darbuotojų dalykines ir asmenines kompetencijas. Apibendrinant mokymų rezultatus Turkijoje, sukurta įstaigos vaikams jogos programa „Žilvičiukų jogos kelionė“, kurios dėka vyksta jogos užsiėmimai su vaikiais, šeimos nariais.Visiems įstaigoje dirbantiems darbuotojams, tėvams buvo sudarytos galimybės  tobulinti kva</w:t>
            </w:r>
            <w:r w:rsidR="003D3424">
              <w:rPr>
                <w:rFonts w:eastAsia="Calibri"/>
                <w:szCs w:val="24"/>
              </w:rPr>
              <w:t>lifikaciją virtualioje erdvėje „Ugdymo meistrai“ mokymuose „</w:t>
            </w:r>
            <w:r>
              <w:rPr>
                <w:rFonts w:eastAsia="Calibri"/>
                <w:szCs w:val="24"/>
              </w:rPr>
              <w:t>Besimokančių darželių tinklas“ ir kitur, atsižvelgiant į asmeninius kvalifikacijos tobulinimo</w:t>
            </w:r>
            <w:r>
              <w:rPr>
                <w:rFonts w:eastAsia="Calibri"/>
                <w:color w:val="FF0000"/>
                <w:szCs w:val="24"/>
              </w:rPr>
              <w:t xml:space="preserve"> </w:t>
            </w:r>
            <w:r>
              <w:rPr>
                <w:rFonts w:eastAsia="Calibri"/>
                <w:szCs w:val="24"/>
              </w:rPr>
              <w:t>prioritetus.</w:t>
            </w:r>
            <w:r>
              <w:rPr>
                <w:rFonts w:eastAsia="Calibri"/>
                <w:color w:val="FF0000"/>
                <w:szCs w:val="24"/>
              </w:rPr>
              <w:t xml:space="preserve"> </w:t>
            </w:r>
            <w:r>
              <w:rPr>
                <w:rFonts w:eastAsia="Calibri"/>
                <w:szCs w:val="24"/>
              </w:rPr>
              <w:t>Ugdymo priemonių pirkimai derinami su mokytojais, atsižvelgiant į grupių poreikius, laikantis strateginių krypčių ir tikslingai pasirenkant priemones, kurios padeda siekti ugdymo kokybės bei įvairovės. Sėkmingai naudojamasi elektroniniu dienynu „Mūsų darželis“, kuriame įstaigos darbuotojai ir tėvai bendrauja siekdami bendro tikslo – kokybiškesnio</w:t>
            </w:r>
            <w:r>
              <w:rPr>
                <w:rFonts w:eastAsia="Calibri"/>
                <w:color w:val="FF0000"/>
                <w:szCs w:val="24"/>
              </w:rPr>
              <w:t xml:space="preserve"> </w:t>
            </w:r>
            <w:r>
              <w:rPr>
                <w:rFonts w:eastAsia="Calibri"/>
                <w:szCs w:val="24"/>
              </w:rPr>
              <w:t>vaikų ugdymo. Moderni, saugi ir sveika ugdymosi aplinka. Aiški modernėjimo kryptis – ekologinis ugdymas, tvarumas, išteklius tausojančios įstaigos kultūros kūrimas. Įstaiga gavo 3 brukneles. Užtikrintas įstaigos funkcionavimas: lėšos naudotos tikslingai, efektyviai naudojamos darbuotojų darbo užmokesčio lėšos. Atsinaujinanti, tobulėjanti, darni, savo gera savijauta besirūpinanti „Žilvičio“ vaikų lopšelio-darželio bendruomenė ir toliau sąmoningai prisidės prie veiklios, solidarios, kuriančios Varėnos  miesto bendruomenės augimo.</w:t>
            </w:r>
          </w:p>
          <w:p w:rsidR="00A81718" w:rsidRDefault="00A81718">
            <w:pPr>
              <w:spacing w:line="276" w:lineRule="auto"/>
              <w:jc w:val="both"/>
              <w:rPr>
                <w:rFonts w:eastAsia="Calibri"/>
                <w:szCs w:val="24"/>
              </w:rPr>
            </w:pPr>
            <w:r>
              <w:rPr>
                <w:rFonts w:eastAsia="Calibri"/>
                <w:szCs w:val="24"/>
              </w:rPr>
              <w:t>Psichologės darbo dėka išsprendžiame vietoje daug problemų. 2025 m. 6 vaikai įvertinti  brandumui priešmokykliniam ugdymui bei mokyklai. Susitikta su 29 (iš kurių 24 vaikai buvo vertinti 2024 metų pabaigoje) tėvais aptarti jų vaikų galių ir sunkumų, kokie iššūkiai gali kilti ugdantis bei pateiktos rekomendacijos kaip tėvai galėtų padėti vaikams, kad kuo sklandesnis ugdymas būtų mokykloje. Kartu su mokytojais bei kitais specialistais 6 vaikams atliktas pirminis vertinimas su jo</w:t>
            </w:r>
          </w:p>
          <w:p w:rsidR="00A81718" w:rsidRDefault="00A81718">
            <w:pPr>
              <w:spacing w:line="276" w:lineRule="auto"/>
              <w:jc w:val="both"/>
              <w:rPr>
                <w:rFonts w:eastAsia="Calibri"/>
                <w:szCs w:val="24"/>
              </w:rPr>
            </w:pPr>
            <w:r>
              <w:rPr>
                <w:rFonts w:eastAsia="Calibri"/>
                <w:szCs w:val="24"/>
              </w:rPr>
              <w:t>rezultatais supažindinti tėvai, parengti dokumentai kompleksiniam vertinimui ir užregistruota vertinimui Varėnos švietimo centre.Tėvų prašymu 4 vaikams, patiriantiems psichologinių sunkumų suteikta 21 individuali konsultacija. Grįžtamuoju ryšiu suteikta konsultacijos jų tėvams. Pedagogių prašymu ir vaikų patiriamų sunkumų vertinimo tikslu stebėti žaidimų ir veiklų metu 7vaikai.</w:t>
            </w:r>
          </w:p>
          <w:p w:rsidR="00A81718" w:rsidRDefault="00A81718">
            <w:pPr>
              <w:tabs>
                <w:tab w:val="left" w:pos="1785"/>
              </w:tabs>
              <w:spacing w:line="276" w:lineRule="auto"/>
              <w:jc w:val="both"/>
              <w:rPr>
                <w:szCs w:val="24"/>
                <w:lang w:eastAsia="lt-LT"/>
              </w:rPr>
            </w:pPr>
          </w:p>
        </w:tc>
      </w:tr>
    </w:tbl>
    <w:p w:rsidR="00A81718" w:rsidRDefault="00A81718" w:rsidP="00A81718">
      <w:pPr>
        <w:rPr>
          <w:b/>
          <w:lang w:eastAsia="lt-LT"/>
        </w:rPr>
      </w:pPr>
    </w:p>
    <w:p w:rsidR="00E43FED" w:rsidRDefault="00E43FED" w:rsidP="00A81718">
      <w:pPr>
        <w:jc w:val="center"/>
        <w:rPr>
          <w:b/>
          <w:szCs w:val="24"/>
          <w:lang w:eastAsia="lt-LT"/>
        </w:rPr>
      </w:pPr>
    </w:p>
    <w:p w:rsidR="00E43FED" w:rsidRDefault="00E43FED" w:rsidP="00A81718">
      <w:pPr>
        <w:jc w:val="center"/>
        <w:rPr>
          <w:b/>
          <w:szCs w:val="24"/>
          <w:lang w:eastAsia="lt-LT"/>
        </w:rPr>
      </w:pPr>
    </w:p>
    <w:p w:rsidR="00E43FED" w:rsidRDefault="00E43FED" w:rsidP="00A81718">
      <w:pPr>
        <w:jc w:val="center"/>
        <w:rPr>
          <w:b/>
          <w:szCs w:val="24"/>
          <w:lang w:eastAsia="lt-LT"/>
        </w:rPr>
      </w:pPr>
    </w:p>
    <w:p w:rsidR="00A81718" w:rsidRDefault="00A81718" w:rsidP="00A81718">
      <w:pPr>
        <w:jc w:val="center"/>
        <w:rPr>
          <w:b/>
          <w:szCs w:val="24"/>
          <w:lang w:eastAsia="lt-LT"/>
        </w:rPr>
      </w:pPr>
      <w:bookmarkStart w:id="0" w:name="_GoBack"/>
      <w:bookmarkEnd w:id="0"/>
      <w:r>
        <w:rPr>
          <w:b/>
          <w:szCs w:val="24"/>
          <w:lang w:eastAsia="lt-LT"/>
        </w:rPr>
        <w:lastRenderedPageBreak/>
        <w:t>II SKYRIUS</w:t>
      </w:r>
    </w:p>
    <w:p w:rsidR="00A81718" w:rsidRDefault="00A81718" w:rsidP="00A81718">
      <w:pPr>
        <w:jc w:val="center"/>
        <w:rPr>
          <w:b/>
          <w:szCs w:val="24"/>
          <w:lang w:eastAsia="lt-LT"/>
        </w:rPr>
      </w:pPr>
      <w:r>
        <w:rPr>
          <w:b/>
          <w:szCs w:val="24"/>
          <w:lang w:eastAsia="lt-LT"/>
        </w:rPr>
        <w:t>METŲ VEIKLOS LŪKESČIAI</w:t>
      </w:r>
    </w:p>
    <w:p w:rsidR="00A81718" w:rsidRDefault="00A81718" w:rsidP="00A81718">
      <w:pPr>
        <w:jc w:val="center"/>
        <w:rPr>
          <w:lang w:eastAsia="lt-LT"/>
        </w:rPr>
      </w:pPr>
    </w:p>
    <w:p w:rsidR="00A81718" w:rsidRDefault="00A81718" w:rsidP="00A81718">
      <w:pPr>
        <w:tabs>
          <w:tab w:val="left" w:pos="284"/>
        </w:tabs>
        <w:rPr>
          <w:b/>
          <w:szCs w:val="24"/>
          <w:lang w:eastAsia="lt-LT"/>
        </w:rPr>
      </w:pPr>
      <w:r>
        <w:rPr>
          <w:b/>
          <w:szCs w:val="24"/>
          <w:lang w:eastAsia="lt-LT"/>
        </w:rPr>
        <w:t>1.</w:t>
      </w:r>
      <w:r>
        <w:rPr>
          <w:b/>
          <w:szCs w:val="24"/>
          <w:lang w:eastAsia="lt-LT"/>
        </w:rPr>
        <w:tab/>
        <w:t>Pagrindiniai praėjusių metų veiklos rezultatai</w:t>
      </w:r>
    </w:p>
    <w:p w:rsidR="00A81718" w:rsidRDefault="00A81718" w:rsidP="00A81718">
      <w:pPr>
        <w:tabs>
          <w:tab w:val="left" w:pos="284"/>
        </w:tabs>
        <w:rPr>
          <w:b/>
          <w:szCs w:val="24"/>
          <w:lang w:eastAsia="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1987"/>
        <w:gridCol w:w="2696"/>
        <w:gridCol w:w="3117"/>
      </w:tblGrid>
      <w:tr w:rsidR="00A81718" w:rsidTr="00A81718">
        <w:tc>
          <w:tcPr>
            <w:tcW w:w="1844" w:type="dxa"/>
            <w:tcBorders>
              <w:top w:val="single" w:sz="4" w:space="0" w:color="auto"/>
              <w:left w:val="single" w:sz="4" w:space="0" w:color="auto"/>
              <w:bottom w:val="single" w:sz="4" w:space="0" w:color="auto"/>
              <w:right w:val="single" w:sz="4" w:space="0" w:color="auto"/>
            </w:tcBorders>
            <w:vAlign w:val="center"/>
            <w:hideMark/>
          </w:tcPr>
          <w:p w:rsidR="00A81718" w:rsidRDefault="00A81718">
            <w:pPr>
              <w:spacing w:line="276" w:lineRule="auto"/>
              <w:jc w:val="center"/>
              <w:rPr>
                <w:szCs w:val="24"/>
                <w:lang w:eastAsia="lt-LT"/>
              </w:rPr>
            </w:pPr>
            <w:r>
              <w:rPr>
                <w:sz w:val="22"/>
                <w:szCs w:val="22"/>
                <w:lang w:eastAsia="lt-LT"/>
              </w:rPr>
              <w:t>Metų užduotys</w:t>
            </w:r>
            <w:r>
              <w:rPr>
                <w:szCs w:val="24"/>
                <w:lang w:eastAsia="lt-LT"/>
              </w:rPr>
              <w:t xml:space="preserve"> </w:t>
            </w:r>
            <w:r>
              <w:rPr>
                <w:sz w:val="20"/>
                <w:lang w:eastAsia="lt-LT"/>
              </w:rPr>
              <w:t>(toliau – užduotys)</w:t>
            </w:r>
          </w:p>
        </w:tc>
        <w:tc>
          <w:tcPr>
            <w:tcW w:w="1986" w:type="dxa"/>
            <w:tcBorders>
              <w:top w:val="single" w:sz="4" w:space="0" w:color="auto"/>
              <w:left w:val="single" w:sz="4" w:space="0" w:color="auto"/>
              <w:bottom w:val="single" w:sz="4" w:space="0" w:color="auto"/>
              <w:right w:val="single" w:sz="4" w:space="0" w:color="auto"/>
            </w:tcBorders>
            <w:vAlign w:val="center"/>
            <w:hideMark/>
          </w:tcPr>
          <w:p w:rsidR="00A81718" w:rsidRDefault="00A81718">
            <w:pPr>
              <w:spacing w:line="276" w:lineRule="auto"/>
              <w:jc w:val="center"/>
              <w:rPr>
                <w:sz w:val="22"/>
                <w:szCs w:val="22"/>
                <w:lang w:eastAsia="lt-LT"/>
              </w:rPr>
            </w:pPr>
            <w:r>
              <w:rPr>
                <w:sz w:val="22"/>
                <w:szCs w:val="22"/>
                <w:lang w:eastAsia="lt-LT"/>
              </w:rPr>
              <w:t>Siektini rezultatai</w:t>
            </w:r>
          </w:p>
        </w:tc>
        <w:tc>
          <w:tcPr>
            <w:tcW w:w="2694" w:type="dxa"/>
            <w:tcBorders>
              <w:top w:val="single" w:sz="4" w:space="0" w:color="auto"/>
              <w:left w:val="single" w:sz="4" w:space="0" w:color="auto"/>
              <w:bottom w:val="single" w:sz="4" w:space="0" w:color="auto"/>
              <w:right w:val="single" w:sz="4" w:space="0" w:color="auto"/>
            </w:tcBorders>
            <w:vAlign w:val="center"/>
            <w:hideMark/>
          </w:tcPr>
          <w:p w:rsidR="00A81718" w:rsidRDefault="00A81718">
            <w:pPr>
              <w:spacing w:line="276" w:lineRule="auto"/>
              <w:jc w:val="center"/>
              <w:rPr>
                <w:szCs w:val="24"/>
                <w:lang w:eastAsia="lt-LT"/>
              </w:rPr>
            </w:pPr>
            <w:r>
              <w:rPr>
                <w:sz w:val="22"/>
                <w:szCs w:val="22"/>
                <w:lang w:eastAsia="lt-LT"/>
              </w:rPr>
              <w:t>Rezultatų vertinimo rodikliai</w:t>
            </w:r>
            <w:r>
              <w:rPr>
                <w:szCs w:val="24"/>
                <w:lang w:eastAsia="lt-LT"/>
              </w:rPr>
              <w:t xml:space="preserve"> </w:t>
            </w:r>
            <w:r>
              <w:rPr>
                <w:sz w:val="20"/>
                <w:lang w:eastAsia="lt-LT"/>
              </w:rPr>
              <w:t>(kuriais vadovaujantis vertinama, ar nustatytos užduotys įvykdytos)</w:t>
            </w:r>
          </w:p>
        </w:tc>
        <w:tc>
          <w:tcPr>
            <w:tcW w:w="3115" w:type="dxa"/>
            <w:tcBorders>
              <w:top w:val="single" w:sz="4" w:space="0" w:color="auto"/>
              <w:left w:val="single" w:sz="4" w:space="0" w:color="auto"/>
              <w:bottom w:val="single" w:sz="4" w:space="0" w:color="auto"/>
              <w:right w:val="single" w:sz="4" w:space="0" w:color="auto"/>
            </w:tcBorders>
            <w:vAlign w:val="center"/>
            <w:hideMark/>
          </w:tcPr>
          <w:p w:rsidR="00A81718" w:rsidRDefault="00A81718">
            <w:pPr>
              <w:spacing w:line="276" w:lineRule="auto"/>
              <w:jc w:val="center"/>
              <w:rPr>
                <w:sz w:val="22"/>
                <w:szCs w:val="22"/>
                <w:lang w:eastAsia="lt-LT"/>
              </w:rPr>
            </w:pPr>
            <w:r>
              <w:rPr>
                <w:sz w:val="22"/>
                <w:szCs w:val="22"/>
                <w:lang w:eastAsia="lt-LT"/>
              </w:rPr>
              <w:t>Pasiekti rezultatai ir jų rodikliai</w:t>
            </w:r>
          </w:p>
        </w:tc>
      </w:tr>
      <w:tr w:rsidR="00A81718" w:rsidTr="00A81718">
        <w:tc>
          <w:tcPr>
            <w:tcW w:w="1844" w:type="dxa"/>
            <w:tcBorders>
              <w:top w:val="single" w:sz="4" w:space="0" w:color="auto"/>
              <w:left w:val="single" w:sz="4" w:space="0" w:color="auto"/>
              <w:bottom w:val="single" w:sz="4" w:space="0" w:color="auto"/>
              <w:right w:val="single" w:sz="4" w:space="0" w:color="auto"/>
            </w:tcBorders>
            <w:hideMark/>
          </w:tcPr>
          <w:p w:rsidR="00A81718" w:rsidRDefault="00A81718">
            <w:pPr>
              <w:pStyle w:val="Standard"/>
              <w:spacing w:line="276" w:lineRule="auto"/>
              <w:jc w:val="both"/>
              <w:rPr>
                <w:b/>
                <w:bCs/>
                <w:sz w:val="22"/>
                <w:szCs w:val="22"/>
                <w:lang w:eastAsia="lt-LT"/>
              </w:rPr>
            </w:pPr>
            <w:r>
              <w:rPr>
                <w:b/>
                <w:bCs/>
                <w:sz w:val="22"/>
                <w:szCs w:val="22"/>
                <w:lang w:eastAsia="lt-LT"/>
              </w:rPr>
              <w:t>1.1. Ikimokyklinio ugdymo turinio atnaujinimas ir įgyvendinimas.</w:t>
            </w:r>
          </w:p>
          <w:p w:rsidR="00A81718" w:rsidRDefault="00A81718">
            <w:pPr>
              <w:spacing w:line="276" w:lineRule="auto"/>
              <w:jc w:val="both"/>
              <w:rPr>
                <w:sz w:val="22"/>
                <w:szCs w:val="22"/>
              </w:rPr>
            </w:pPr>
            <w:r>
              <w:rPr>
                <w:sz w:val="22"/>
                <w:szCs w:val="22"/>
                <w:lang w:eastAsia="lt-LT"/>
              </w:rPr>
              <w:t>Įgalinti mokytojų bendruomenę atnaujinti darželio ikimokyklinio ugdymo programą bei plėtoti ugdymo turinio kūrimo ir įgyvendinimo kompetencijas.</w:t>
            </w:r>
          </w:p>
        </w:tc>
        <w:tc>
          <w:tcPr>
            <w:tcW w:w="1986"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Darželyje atnaujinta ikimokyklinio ugdymo programa atitinka vaikų ugdymosi poreikius ir tėvų (globėjų, rūpintojų) lūkesčius atliepiantį ugdymą bei skatina mokytojus, švietimo pagalbos specialistus tobulinti turimas profesines kompetencijas ir įgyti naujų.</w:t>
            </w:r>
          </w:p>
        </w:tc>
        <w:tc>
          <w:tcPr>
            <w:tcW w:w="2694" w:type="dxa"/>
            <w:tcBorders>
              <w:top w:val="single" w:sz="4" w:space="0" w:color="auto"/>
              <w:left w:val="single" w:sz="4" w:space="0" w:color="auto"/>
              <w:bottom w:val="single" w:sz="4" w:space="0" w:color="auto"/>
              <w:right w:val="single" w:sz="4" w:space="0" w:color="auto"/>
            </w:tcBorders>
            <w:hideMark/>
          </w:tcPr>
          <w:p w:rsidR="00A81718" w:rsidRDefault="00A81718">
            <w:pPr>
              <w:pStyle w:val="Standard"/>
              <w:spacing w:line="276" w:lineRule="auto"/>
              <w:jc w:val="both"/>
              <w:rPr>
                <w:sz w:val="22"/>
                <w:szCs w:val="22"/>
              </w:rPr>
            </w:pPr>
            <w:r>
              <w:rPr>
                <w:sz w:val="22"/>
                <w:szCs w:val="22"/>
              </w:rPr>
              <w:t>Pagilintas ir sustiprintas supratimas apie darželio ugdymo programos atnaujinimo poreikį, įsivertinta darželio ugdymo praktika: ne mažiau kaip 85 proc. pedagogų atpažįsta naujinamos ugdymo programos turinį bei jį įgyvendina ugdymo veiklose.</w:t>
            </w:r>
          </w:p>
          <w:p w:rsidR="00A81718" w:rsidRDefault="00A81718">
            <w:pPr>
              <w:pStyle w:val="Standard"/>
              <w:spacing w:line="276" w:lineRule="auto"/>
              <w:jc w:val="both"/>
              <w:rPr>
                <w:sz w:val="22"/>
                <w:szCs w:val="22"/>
              </w:rPr>
            </w:pPr>
            <w:r>
              <w:rPr>
                <w:sz w:val="22"/>
                <w:szCs w:val="22"/>
              </w:rPr>
              <w:t>Patvirtintas ikimokyklinio ugdymo (toliau – IU) programos projektas.</w:t>
            </w:r>
          </w:p>
          <w:p w:rsidR="00A81718" w:rsidRDefault="00A81718">
            <w:pPr>
              <w:pStyle w:val="Standard"/>
              <w:spacing w:line="276" w:lineRule="auto"/>
              <w:jc w:val="both"/>
              <w:rPr>
                <w:sz w:val="22"/>
                <w:szCs w:val="22"/>
              </w:rPr>
            </w:pPr>
            <w:r>
              <w:rPr>
                <w:sz w:val="22"/>
                <w:szCs w:val="22"/>
              </w:rPr>
              <w:t>Atnaujinta ikimokyklinio amžiaus vaikų pasiekimų (individualios pažangos) stebėsenos ir vertinimo sistema.</w:t>
            </w:r>
          </w:p>
          <w:p w:rsidR="00A81718" w:rsidRDefault="00A81718">
            <w:pPr>
              <w:spacing w:line="276" w:lineRule="auto"/>
              <w:jc w:val="both"/>
              <w:rPr>
                <w:sz w:val="22"/>
                <w:szCs w:val="22"/>
              </w:rPr>
            </w:pPr>
            <w:r>
              <w:rPr>
                <w:sz w:val="22"/>
                <w:szCs w:val="22"/>
              </w:rPr>
              <w:t>Organizuoti ir vykdyti mokymai darželio mokytojams pagal atnaujintas IU gaires.</w:t>
            </w:r>
          </w:p>
        </w:tc>
        <w:tc>
          <w:tcPr>
            <w:tcW w:w="3115" w:type="dxa"/>
            <w:tcBorders>
              <w:top w:val="single" w:sz="4" w:space="0" w:color="auto"/>
              <w:left w:val="single" w:sz="4" w:space="0" w:color="auto"/>
              <w:bottom w:val="single" w:sz="4" w:space="0" w:color="auto"/>
              <w:right w:val="single" w:sz="4" w:space="0" w:color="auto"/>
            </w:tcBorders>
            <w:vAlign w:val="center"/>
            <w:hideMark/>
          </w:tcPr>
          <w:p w:rsidR="00A81718" w:rsidRDefault="00A81718">
            <w:pPr>
              <w:pStyle w:val="Betarp"/>
              <w:spacing w:line="276" w:lineRule="auto"/>
              <w:jc w:val="both"/>
              <w:rPr>
                <w:sz w:val="22"/>
                <w:szCs w:val="22"/>
              </w:rPr>
            </w:pPr>
            <w:r>
              <w:rPr>
                <w:sz w:val="22"/>
                <w:szCs w:val="22"/>
              </w:rPr>
              <w:t>Pritarta Varėnos „Žilvičio“ vaikų lopšelio –darželio atnaujintai ikimokyklinio ugdymo programai Varėnos rajono savivaldybės mero potvarkiu 2025m.birželio 17d. Nr. MV-367</w:t>
            </w:r>
          </w:p>
          <w:p w:rsidR="00A81718" w:rsidRDefault="00A81718">
            <w:pPr>
              <w:pStyle w:val="Betarp"/>
              <w:spacing w:line="276" w:lineRule="auto"/>
              <w:jc w:val="both"/>
              <w:rPr>
                <w:sz w:val="22"/>
                <w:szCs w:val="22"/>
              </w:rPr>
            </w:pPr>
            <w:r>
              <w:rPr>
                <w:sz w:val="22"/>
                <w:szCs w:val="22"/>
              </w:rPr>
              <w:t>3 etapais 85 proc. mokytojų tobulino kvalifikaciją mokymuose</w:t>
            </w:r>
          </w:p>
          <w:p w:rsidR="00A81718" w:rsidRDefault="00A81718">
            <w:pPr>
              <w:pStyle w:val="Betarp"/>
              <w:spacing w:line="276" w:lineRule="auto"/>
              <w:jc w:val="both"/>
              <w:rPr>
                <w:sz w:val="22"/>
                <w:szCs w:val="22"/>
              </w:rPr>
            </w:pPr>
            <w:r>
              <w:rPr>
                <w:sz w:val="22"/>
                <w:szCs w:val="22"/>
              </w:rPr>
              <w:t xml:space="preserve">  Ne mažiau 85 proc. mokytojų aptarė atnaujintą ugdymo sričių  turinį, kurį įgyvendina kasdieninėse patyriminėse veiklose bei išnaudoja pasiekimų žingsnius vaiko individualumui atsiskleisti.</w:t>
            </w:r>
          </w:p>
          <w:p w:rsidR="00A81718" w:rsidRDefault="00A81718">
            <w:pPr>
              <w:pStyle w:val="Betarp"/>
              <w:spacing w:line="276" w:lineRule="auto"/>
              <w:jc w:val="both"/>
              <w:rPr>
                <w:sz w:val="22"/>
                <w:szCs w:val="22"/>
              </w:rPr>
            </w:pPr>
            <w:r>
              <w:rPr>
                <w:sz w:val="22"/>
                <w:szCs w:val="22"/>
              </w:rPr>
              <w:t>Metodinė grupė parengė IU programos projektą, atskleidė darželio savitumus, sukūrė konceptualų modelį.</w:t>
            </w:r>
          </w:p>
          <w:p w:rsidR="00A81718" w:rsidRDefault="00A81718">
            <w:pPr>
              <w:pStyle w:val="Betarp"/>
              <w:spacing w:line="276" w:lineRule="auto"/>
              <w:jc w:val="both"/>
              <w:rPr>
                <w:sz w:val="22"/>
                <w:szCs w:val="22"/>
              </w:rPr>
            </w:pPr>
            <w:r>
              <w:rPr>
                <w:sz w:val="22"/>
                <w:szCs w:val="22"/>
              </w:rPr>
              <w:t>Įvyko 6 metodės grupės posėdžiai atnaujintos ikimokyklinio ugdymo programos sukūrimui.</w:t>
            </w:r>
          </w:p>
          <w:p w:rsidR="00A81718" w:rsidRDefault="00A81718">
            <w:pPr>
              <w:pStyle w:val="Betarp"/>
              <w:spacing w:line="276" w:lineRule="auto"/>
              <w:jc w:val="both"/>
              <w:rPr>
                <w:color w:val="ED0000"/>
                <w:sz w:val="22"/>
                <w:szCs w:val="22"/>
              </w:rPr>
            </w:pPr>
            <w:r>
              <w:rPr>
                <w:sz w:val="22"/>
                <w:szCs w:val="22"/>
              </w:rPr>
              <w:t>Visi ikimokyklinio ugdymo mokytojai, vadovai, švietimo pagalbos specialisstai dalyvavo NŠA atnaujinto ikimokyklinio ugdymo turinio mokymuose (85 proc. mokytojų patobulinio profesines kompetencijas ir įgijo naujas).</w:t>
            </w:r>
          </w:p>
        </w:tc>
      </w:tr>
      <w:tr w:rsidR="00A81718" w:rsidTr="00A81718">
        <w:tc>
          <w:tcPr>
            <w:tcW w:w="1844" w:type="dxa"/>
            <w:tcBorders>
              <w:top w:val="single" w:sz="4" w:space="0" w:color="auto"/>
              <w:left w:val="single" w:sz="4" w:space="0" w:color="auto"/>
              <w:bottom w:val="single" w:sz="4" w:space="0" w:color="auto"/>
              <w:right w:val="single" w:sz="4" w:space="0" w:color="auto"/>
            </w:tcBorders>
            <w:hideMark/>
          </w:tcPr>
          <w:p w:rsidR="00A81718" w:rsidRDefault="00A81718">
            <w:pPr>
              <w:pStyle w:val="Standard"/>
              <w:spacing w:line="276" w:lineRule="auto"/>
              <w:jc w:val="both"/>
              <w:rPr>
                <w:sz w:val="22"/>
                <w:szCs w:val="22"/>
                <w:lang w:eastAsia="lt-LT"/>
              </w:rPr>
            </w:pPr>
            <w:r>
              <w:rPr>
                <w:b/>
                <w:bCs/>
                <w:sz w:val="22"/>
                <w:szCs w:val="22"/>
                <w:lang w:eastAsia="lt-LT"/>
              </w:rPr>
              <w:t>1.2. Vaikų pasiekimų ūgtis</w:t>
            </w:r>
            <w:r>
              <w:rPr>
                <w:sz w:val="22"/>
                <w:szCs w:val="22"/>
                <w:lang w:eastAsia="lt-LT"/>
              </w:rPr>
              <w:t xml:space="preserve">. </w:t>
            </w:r>
          </w:p>
          <w:p w:rsidR="00A81718" w:rsidRDefault="00A81718">
            <w:pPr>
              <w:pStyle w:val="Standard"/>
              <w:spacing w:line="276" w:lineRule="auto"/>
              <w:jc w:val="both"/>
              <w:rPr>
                <w:sz w:val="22"/>
                <w:szCs w:val="22"/>
                <w:lang w:eastAsia="lt-LT"/>
              </w:rPr>
            </w:pPr>
            <w:r>
              <w:rPr>
                <w:sz w:val="22"/>
                <w:szCs w:val="22"/>
                <w:lang w:eastAsia="lt-LT"/>
              </w:rPr>
              <w:t xml:space="preserve">Gerinti ugdymosi kokybę  bei taikyti </w:t>
            </w:r>
            <w:r>
              <w:rPr>
                <w:sz w:val="22"/>
                <w:szCs w:val="22"/>
                <w:lang w:eastAsia="lt-LT"/>
              </w:rPr>
              <w:lastRenderedPageBreak/>
              <w:t>veiksmingas vaikų pasiekimų stebėsenos ir vertinimo strategijas.</w:t>
            </w:r>
          </w:p>
        </w:tc>
        <w:tc>
          <w:tcPr>
            <w:tcW w:w="1986" w:type="dxa"/>
            <w:tcBorders>
              <w:top w:val="single" w:sz="4" w:space="0" w:color="auto"/>
              <w:left w:val="single" w:sz="4" w:space="0" w:color="auto"/>
              <w:bottom w:val="single" w:sz="4" w:space="0" w:color="auto"/>
              <w:right w:val="single" w:sz="4" w:space="0" w:color="auto"/>
            </w:tcBorders>
            <w:hideMark/>
          </w:tcPr>
          <w:p w:rsidR="00A81718" w:rsidRDefault="00A81718">
            <w:pPr>
              <w:pStyle w:val="Standard"/>
              <w:spacing w:line="276" w:lineRule="auto"/>
              <w:jc w:val="both"/>
              <w:rPr>
                <w:sz w:val="22"/>
                <w:szCs w:val="22"/>
              </w:rPr>
            </w:pPr>
            <w:r>
              <w:rPr>
                <w:sz w:val="22"/>
                <w:szCs w:val="22"/>
              </w:rPr>
              <w:lastRenderedPageBreak/>
              <w:t xml:space="preserve">Darželyje pagerintas grįžtamasis ryšys apie vaikų ugdymosi </w:t>
            </w:r>
            <w:r>
              <w:rPr>
                <w:sz w:val="22"/>
                <w:szCs w:val="22"/>
              </w:rPr>
              <w:lastRenderedPageBreak/>
              <w:t>pasiekimus.</w:t>
            </w:r>
          </w:p>
          <w:p w:rsidR="00A81718" w:rsidRDefault="00A81718">
            <w:pPr>
              <w:pStyle w:val="Standard"/>
              <w:spacing w:line="276" w:lineRule="auto"/>
              <w:jc w:val="both"/>
              <w:rPr>
                <w:color w:val="000000"/>
                <w:sz w:val="22"/>
                <w:szCs w:val="22"/>
                <w:lang w:eastAsia="lt-LT"/>
              </w:rPr>
            </w:pPr>
            <w:r>
              <w:rPr>
                <w:sz w:val="22"/>
                <w:szCs w:val="22"/>
              </w:rPr>
              <w:t>Tėvai įtraukti į renginius ir ugdymo procesą, kontekstines, projektines veiklas bei dalyvauja vaiko pažangos ir pasiekimų vertinime.</w:t>
            </w:r>
          </w:p>
        </w:tc>
        <w:tc>
          <w:tcPr>
            <w:tcW w:w="2694" w:type="dxa"/>
            <w:tcBorders>
              <w:top w:val="single" w:sz="4" w:space="0" w:color="auto"/>
              <w:left w:val="single" w:sz="4" w:space="0" w:color="auto"/>
              <w:bottom w:val="single" w:sz="4" w:space="0" w:color="auto"/>
              <w:right w:val="single" w:sz="4" w:space="0" w:color="auto"/>
            </w:tcBorders>
            <w:hideMark/>
          </w:tcPr>
          <w:p w:rsidR="00A81718" w:rsidRDefault="00A81718">
            <w:pPr>
              <w:pStyle w:val="Standard"/>
              <w:spacing w:line="276" w:lineRule="auto"/>
              <w:jc w:val="both"/>
              <w:rPr>
                <w:sz w:val="22"/>
                <w:szCs w:val="22"/>
              </w:rPr>
            </w:pPr>
            <w:r>
              <w:rPr>
                <w:sz w:val="22"/>
                <w:szCs w:val="22"/>
              </w:rPr>
              <w:lastRenderedPageBreak/>
              <w:t xml:space="preserve">Sustiprintas bendrųjų kompetencijų ugdymas (ne mažiau kaip 30 procentų pedagogų atpažįsta kompetencijų raišką </w:t>
            </w:r>
            <w:r>
              <w:rPr>
                <w:sz w:val="22"/>
                <w:szCs w:val="22"/>
              </w:rPr>
              <w:lastRenderedPageBreak/>
              <w:t>ugdymosi veiklose).</w:t>
            </w:r>
          </w:p>
          <w:p w:rsidR="00A81718" w:rsidRDefault="00A81718">
            <w:pPr>
              <w:pStyle w:val="Standard"/>
              <w:spacing w:line="276" w:lineRule="auto"/>
              <w:jc w:val="both"/>
              <w:rPr>
                <w:color w:val="000000" w:themeColor="text1"/>
                <w:sz w:val="22"/>
                <w:szCs w:val="22"/>
              </w:rPr>
            </w:pPr>
            <w:r>
              <w:rPr>
                <w:sz w:val="22"/>
                <w:szCs w:val="22"/>
              </w:rPr>
              <w:t xml:space="preserve">Atnaujinta </w:t>
            </w:r>
            <w:r>
              <w:rPr>
                <w:color w:val="000000" w:themeColor="text1"/>
                <w:sz w:val="22"/>
                <w:szCs w:val="22"/>
              </w:rPr>
              <w:t xml:space="preserve">vaikų pasiekimų (individualios pažangos) stebėsenos ir vertinimo sistema pagal atnaujintą IU programą. </w:t>
            </w:r>
          </w:p>
          <w:p w:rsidR="00A81718" w:rsidRDefault="00A81718">
            <w:pPr>
              <w:pStyle w:val="Textbody"/>
              <w:widowControl/>
              <w:spacing w:line="276" w:lineRule="auto"/>
              <w:jc w:val="both"/>
              <w:rPr>
                <w:color w:val="000000"/>
                <w:sz w:val="22"/>
                <w:szCs w:val="22"/>
                <w:lang w:eastAsia="lt-LT"/>
              </w:rPr>
            </w:pPr>
            <w:r>
              <w:rPr>
                <w:color w:val="000000" w:themeColor="text1"/>
                <w:sz w:val="22"/>
                <w:szCs w:val="22"/>
              </w:rPr>
              <w:t>Pagerinti ikimokyklinio ir priešmokyklinio amžiaus vaikų pasiekimai (ne mažiau kaip 10 proc. lyginant su praėjusiais mokslo metais).</w:t>
            </w:r>
          </w:p>
        </w:tc>
        <w:tc>
          <w:tcPr>
            <w:tcW w:w="3115"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rFonts w:eastAsia="Calibri"/>
                <w:sz w:val="22"/>
                <w:szCs w:val="22"/>
              </w:rPr>
              <w:lastRenderedPageBreak/>
              <w:t xml:space="preserve">30 proc. pedagogų atpažino kompetencijų raišką ugdymosi veiklose. Tai buvo pristatyta metodinėje grupėje, pasidalinimas gerąja pedagogine </w:t>
            </w:r>
            <w:r>
              <w:rPr>
                <w:rFonts w:eastAsia="Calibri"/>
                <w:sz w:val="22"/>
                <w:szCs w:val="22"/>
              </w:rPr>
              <w:lastRenderedPageBreak/>
              <w:t>patirtimi įstaigoje, rajone, apskrityje.</w:t>
            </w:r>
            <w:r>
              <w:rPr>
                <w:sz w:val="22"/>
                <w:szCs w:val="22"/>
              </w:rPr>
              <w:t xml:space="preserve"> </w:t>
            </w:r>
          </w:p>
          <w:p w:rsidR="00A81718" w:rsidRDefault="00A81718">
            <w:pPr>
              <w:spacing w:line="276" w:lineRule="auto"/>
              <w:jc w:val="both"/>
              <w:rPr>
                <w:rFonts w:eastAsia="Calibri"/>
                <w:sz w:val="22"/>
                <w:szCs w:val="22"/>
              </w:rPr>
            </w:pPr>
            <w:r>
              <w:rPr>
                <w:sz w:val="22"/>
                <w:szCs w:val="22"/>
              </w:rPr>
              <w:t>Pedagogų kompetencijų aplanke, fiksuojami pedagogų sukaupti patvirtinimai apie jo veiklą, įrodymai kokias kompetencijas, gebėjimus patobulino. Tai padeda  reflektuoti ir žvelgti kaip į svarbią priemonę savo pažangai stebėti ir įsivertinti.</w:t>
            </w:r>
          </w:p>
          <w:p w:rsidR="00A81718" w:rsidRDefault="00A81718">
            <w:pPr>
              <w:spacing w:line="276" w:lineRule="auto"/>
              <w:jc w:val="both"/>
              <w:rPr>
                <w:rFonts w:eastAsia="Calibri"/>
                <w:sz w:val="22"/>
                <w:szCs w:val="22"/>
              </w:rPr>
            </w:pPr>
            <w:r>
              <w:rPr>
                <w:rFonts w:eastAsia="Calibri"/>
                <w:sz w:val="22"/>
                <w:szCs w:val="22"/>
              </w:rPr>
              <w:t xml:space="preserve">Atnaujintas vaikų </w:t>
            </w:r>
            <w:r>
              <w:rPr>
                <w:sz w:val="22"/>
                <w:szCs w:val="22"/>
              </w:rPr>
              <w:t>pasiekimų ir pažangos vertinimo tvarkos aprašas</w:t>
            </w:r>
            <w:r>
              <w:rPr>
                <w:rFonts w:eastAsia="Calibri"/>
                <w:sz w:val="22"/>
                <w:szCs w:val="22"/>
              </w:rPr>
              <w:t xml:space="preserve"> 2025-09-21 Nr.V-92</w:t>
            </w:r>
          </w:p>
          <w:p w:rsidR="00A81718" w:rsidRDefault="00A81718">
            <w:pPr>
              <w:spacing w:line="276" w:lineRule="auto"/>
              <w:jc w:val="both"/>
              <w:rPr>
                <w:rFonts w:eastAsia="Calibri"/>
                <w:sz w:val="22"/>
                <w:szCs w:val="22"/>
              </w:rPr>
            </w:pPr>
            <w:r>
              <w:rPr>
                <w:rFonts w:eastAsia="Calibri"/>
                <w:sz w:val="22"/>
                <w:szCs w:val="22"/>
              </w:rPr>
              <w:t>Elektroniniame dienyne  “Mūsų darželis“ tėvai susipažįsta su vaiko pasiekimais, aptaria su mokytojomis.</w:t>
            </w:r>
          </w:p>
          <w:p w:rsidR="00A81718" w:rsidRDefault="00A81718">
            <w:pPr>
              <w:spacing w:line="276" w:lineRule="auto"/>
              <w:jc w:val="both"/>
              <w:rPr>
                <w:rFonts w:eastAsia="Calibri"/>
                <w:sz w:val="22"/>
                <w:szCs w:val="22"/>
              </w:rPr>
            </w:pPr>
            <w:r>
              <w:rPr>
                <w:rFonts w:eastAsia="Calibri"/>
                <w:sz w:val="22"/>
                <w:szCs w:val="22"/>
              </w:rPr>
              <w:t>Parengta vaikų pasiekimų gerinimo strategija 2025-2028 m. Analizuojant ikimokyklinio ir priešmokyklinio amžiaus vaikų vertinimo pasiekimus, matomi 10 proc. rezultatų pagerėjimas.</w:t>
            </w:r>
          </w:p>
        </w:tc>
      </w:tr>
      <w:tr w:rsidR="00A81718" w:rsidTr="00A81718">
        <w:tc>
          <w:tcPr>
            <w:tcW w:w="1844"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rPr>
                <w:b/>
                <w:bCs/>
                <w:sz w:val="22"/>
                <w:szCs w:val="22"/>
              </w:rPr>
            </w:pPr>
            <w:r>
              <w:rPr>
                <w:b/>
                <w:bCs/>
                <w:sz w:val="22"/>
                <w:szCs w:val="22"/>
              </w:rPr>
              <w:lastRenderedPageBreak/>
              <w:t>1.3. Vaikų ugdymas(-is)</w:t>
            </w:r>
          </w:p>
          <w:p w:rsidR="00A81718" w:rsidRDefault="00A81718">
            <w:pPr>
              <w:spacing w:line="276" w:lineRule="auto"/>
              <w:jc w:val="both"/>
              <w:rPr>
                <w:sz w:val="22"/>
                <w:szCs w:val="22"/>
              </w:rPr>
            </w:pPr>
            <w:r>
              <w:rPr>
                <w:sz w:val="22"/>
                <w:szCs w:val="22"/>
              </w:rPr>
              <w:t>Ugdyti smalsią, kūrybingą ir aktyvią ikimokyklinio ir priešmokyklinio amžiaus vaikų bendruomenę.</w:t>
            </w:r>
          </w:p>
        </w:tc>
        <w:tc>
          <w:tcPr>
            <w:tcW w:w="1986"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Padidintas patyriminio ugdymo(-si) rezultatų suvokimas: kontekstinių veiklų planų rengimas, pedagogų veiklos stiprinimas, mąstymą stimuliuojančių metodikų taikymas.</w:t>
            </w:r>
          </w:p>
          <w:p w:rsidR="00A81718" w:rsidRDefault="00A81718">
            <w:pPr>
              <w:spacing w:line="276" w:lineRule="auto"/>
              <w:jc w:val="both"/>
              <w:rPr>
                <w:sz w:val="22"/>
                <w:szCs w:val="22"/>
              </w:rPr>
            </w:pPr>
            <w:r>
              <w:rPr>
                <w:sz w:val="22"/>
                <w:szCs w:val="22"/>
              </w:rPr>
              <w:t xml:space="preserve">Plėtojamas kontekstinis STEAM ugdymas bei didinamas ugdymosi aplinkų  funkcionalumas. </w:t>
            </w:r>
          </w:p>
        </w:tc>
        <w:tc>
          <w:tcPr>
            <w:tcW w:w="2694"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 xml:space="preserve">Ugdomosios veiklos struktūros įgyvendinimas, stebėsena. Atlikti pedagogų veiklos stebėjimai (organizuotos atvirų veiklų refleksijos, susitikimai su mokytojais, pristatomos pažangos ataskaitos). </w:t>
            </w:r>
          </w:p>
          <w:p w:rsidR="00A81718" w:rsidRDefault="00A81718">
            <w:pPr>
              <w:spacing w:line="276" w:lineRule="auto"/>
              <w:jc w:val="both"/>
              <w:rPr>
                <w:sz w:val="22"/>
                <w:szCs w:val="22"/>
              </w:rPr>
            </w:pPr>
            <w:r>
              <w:rPr>
                <w:sz w:val="22"/>
                <w:szCs w:val="22"/>
              </w:rPr>
              <w:t>90 proc. įgyvendintos STEAM veiklos. Ugdymo procesas organizuojamas integruojant STEAM elementus (refleksija vykdoma metodinėje grupėje).</w:t>
            </w:r>
          </w:p>
        </w:tc>
        <w:tc>
          <w:tcPr>
            <w:tcW w:w="3115"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 xml:space="preserve">Atnaujintas pedagogų veiklos stebėsenos aprašas. 30 proc. pagerėjo mokytojų veiklos kokybė. </w:t>
            </w:r>
          </w:p>
          <w:p w:rsidR="00A81718" w:rsidRDefault="00A81718">
            <w:pPr>
              <w:spacing w:line="276" w:lineRule="auto"/>
              <w:jc w:val="both"/>
              <w:rPr>
                <w:sz w:val="22"/>
                <w:szCs w:val="22"/>
              </w:rPr>
            </w:pPr>
            <w:r>
              <w:rPr>
                <w:sz w:val="22"/>
                <w:szCs w:val="22"/>
              </w:rPr>
              <w:t>Sudaryta įstaigos vidinio įsivertinimo metodinė grupė, susipažinta su ugdymo kokybės vertinimo metodika.</w:t>
            </w:r>
          </w:p>
          <w:p w:rsidR="00A81718" w:rsidRDefault="00A81718">
            <w:pPr>
              <w:spacing w:line="276" w:lineRule="auto"/>
              <w:jc w:val="both"/>
              <w:rPr>
                <w:sz w:val="22"/>
                <w:szCs w:val="22"/>
              </w:rPr>
            </w:pPr>
            <w:r>
              <w:rPr>
                <w:sz w:val="22"/>
                <w:szCs w:val="22"/>
              </w:rPr>
              <w:t xml:space="preserve">12proc. pedagogų dalyvavo ESFA  projekte “Ikimokyklinio ugdymo gerinimas - I etapas” </w:t>
            </w:r>
          </w:p>
          <w:p w:rsidR="00A81718" w:rsidRDefault="00A81718">
            <w:pPr>
              <w:spacing w:line="276" w:lineRule="auto"/>
              <w:jc w:val="both"/>
              <w:rPr>
                <w:sz w:val="22"/>
                <w:szCs w:val="22"/>
              </w:rPr>
            </w:pPr>
            <w:r>
              <w:rPr>
                <w:sz w:val="22"/>
                <w:szCs w:val="22"/>
              </w:rPr>
              <w:t>STEAM metodikos įdiegimas ir naudojimas ugdymo procese, įgyvendinti mokymus pedagogams STEAM metodikos diegimo ir naudojimo ugdymo procese klausimais. Per einamuosius metus visų amžių vaikų grupės aprūpintos STEAM priemonėmis.</w:t>
            </w:r>
          </w:p>
          <w:p w:rsidR="00A81718" w:rsidRDefault="00A81718">
            <w:pPr>
              <w:spacing w:line="276" w:lineRule="auto"/>
              <w:jc w:val="both"/>
              <w:rPr>
                <w:sz w:val="22"/>
                <w:szCs w:val="22"/>
              </w:rPr>
            </w:pPr>
            <w:r>
              <w:rPr>
                <w:sz w:val="22"/>
                <w:szCs w:val="22"/>
              </w:rPr>
              <w:t>90 proc. veiklos įgyvendinamos STEAM metodika</w:t>
            </w:r>
          </w:p>
        </w:tc>
      </w:tr>
      <w:tr w:rsidR="00A81718" w:rsidTr="00A81718">
        <w:tc>
          <w:tcPr>
            <w:tcW w:w="1844"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b/>
                <w:bCs/>
                <w:sz w:val="22"/>
                <w:szCs w:val="22"/>
              </w:rPr>
            </w:pPr>
            <w:r>
              <w:rPr>
                <w:b/>
                <w:bCs/>
                <w:sz w:val="22"/>
                <w:szCs w:val="22"/>
              </w:rPr>
              <w:lastRenderedPageBreak/>
              <w:t>1.4. Bendruomenės veiklos veiksmingumo stiprinimas</w:t>
            </w:r>
          </w:p>
          <w:p w:rsidR="00A81718" w:rsidRDefault="00A81718">
            <w:pPr>
              <w:spacing w:line="276" w:lineRule="auto"/>
              <w:jc w:val="both"/>
              <w:rPr>
                <w:sz w:val="22"/>
                <w:szCs w:val="22"/>
              </w:rPr>
            </w:pPr>
            <w:r>
              <w:rPr>
                <w:sz w:val="22"/>
                <w:szCs w:val="22"/>
              </w:rPr>
              <w:t>Plėtoti komandinio darbo organizavimo principus kuriant įstaigos savitumą, kryptingai siekti atsakingo, efektyvaus profesinio potencialo stiprinimo.</w:t>
            </w:r>
          </w:p>
        </w:tc>
        <w:tc>
          <w:tcPr>
            <w:tcW w:w="1986"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Sukurta stipri bendradarbiavimo darželyje kultūra.</w:t>
            </w:r>
          </w:p>
        </w:tc>
        <w:tc>
          <w:tcPr>
            <w:tcW w:w="2694"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Aptarti ir atnaujinti pedagogų kvalifikacijos tobulinimo prioritetai. 70 proc. pedagogų tobulino kompetencijas.</w:t>
            </w:r>
          </w:p>
          <w:p w:rsidR="00A81718" w:rsidRDefault="00A81718">
            <w:pPr>
              <w:spacing w:line="276" w:lineRule="auto"/>
              <w:jc w:val="both"/>
              <w:rPr>
                <w:sz w:val="22"/>
                <w:szCs w:val="22"/>
              </w:rPr>
            </w:pPr>
            <w:r>
              <w:rPr>
                <w:sz w:val="22"/>
                <w:szCs w:val="22"/>
              </w:rPr>
              <w:t>Refleksijos, susitikimai su įstaigos tėvų tarybos atstovais, parengta veiklos įsivertinimo ataskaita.</w:t>
            </w:r>
          </w:p>
        </w:tc>
        <w:tc>
          <w:tcPr>
            <w:tcW w:w="3115" w:type="dxa"/>
            <w:tcBorders>
              <w:top w:val="single" w:sz="4" w:space="0" w:color="auto"/>
              <w:left w:val="single" w:sz="4" w:space="0" w:color="auto"/>
              <w:bottom w:val="single" w:sz="4" w:space="0" w:color="auto"/>
              <w:right w:val="single" w:sz="4" w:space="0" w:color="auto"/>
            </w:tcBorders>
            <w:hideMark/>
          </w:tcPr>
          <w:p w:rsidR="00A81718" w:rsidRDefault="00A81718">
            <w:pPr>
              <w:spacing w:line="276" w:lineRule="auto"/>
              <w:jc w:val="both"/>
              <w:rPr>
                <w:sz w:val="22"/>
                <w:szCs w:val="22"/>
              </w:rPr>
            </w:pPr>
            <w:r>
              <w:rPr>
                <w:sz w:val="22"/>
                <w:szCs w:val="22"/>
              </w:rPr>
              <w:t>Mokslo metais darbuotojai aktyviai dalyvavo kvalifikacijos tobulinimo renginiuose. Aptarti pedagogų (atnaujinta pedagogų kvalifikacijos tobulinimo perograma) ir kitų darbutojų kvalifikacijos tobulinimo prioritetai.Tai padėjo užtikrinti ugdymo proceso organizavimo kokybę(įgytos naujos žinios ir metodai 10 proc. pagerino ugdymo kokybęir padėjo geriau atitikti vaikų poreikius);sustiprino mokytojų žinias apie vaikų raidos ypatumus, patobulinti gebėjimaidirbti su įvairių poreikių vaikais; sustiprino mokytojų lyderystę.</w:t>
            </w:r>
          </w:p>
          <w:p w:rsidR="00A81718" w:rsidRDefault="00A81718">
            <w:pPr>
              <w:spacing w:line="276" w:lineRule="auto"/>
              <w:jc w:val="both"/>
              <w:rPr>
                <w:sz w:val="22"/>
                <w:szCs w:val="22"/>
              </w:rPr>
            </w:pPr>
            <w:r>
              <w:rPr>
                <w:sz w:val="22"/>
                <w:szCs w:val="22"/>
              </w:rPr>
              <w:t>Bendradarbiavimas su VGK, įvykę 7 posėdžiai.</w:t>
            </w:r>
          </w:p>
          <w:p w:rsidR="00A81718" w:rsidRDefault="00A81718">
            <w:pPr>
              <w:spacing w:line="276" w:lineRule="auto"/>
              <w:jc w:val="both"/>
              <w:rPr>
                <w:sz w:val="22"/>
                <w:szCs w:val="22"/>
              </w:rPr>
            </w:pPr>
            <w:r>
              <w:rPr>
                <w:sz w:val="22"/>
                <w:szCs w:val="22"/>
              </w:rPr>
              <w:t>Aptarimas su lopšelio-darželio taryba, pedagogais apie tvarumo aplinkos sukūrimą įstaigos teritorijoje.</w:t>
            </w:r>
          </w:p>
        </w:tc>
      </w:tr>
    </w:tbl>
    <w:p w:rsidR="00A81718" w:rsidRDefault="00A81718" w:rsidP="00A81718">
      <w:pPr>
        <w:jc w:val="center"/>
        <w:rPr>
          <w:lang w:eastAsia="lt-LT"/>
        </w:rPr>
      </w:pPr>
    </w:p>
    <w:p w:rsidR="00A81718" w:rsidRDefault="00A81718" w:rsidP="00A81718">
      <w:pPr>
        <w:tabs>
          <w:tab w:val="left" w:pos="284"/>
        </w:tabs>
        <w:rPr>
          <w:b/>
          <w:szCs w:val="24"/>
          <w:lang w:eastAsia="lt-LT"/>
        </w:rPr>
      </w:pPr>
    </w:p>
    <w:p w:rsidR="00DE6C97" w:rsidRDefault="00DE6C97"/>
    <w:sectPr w:rsidR="00DE6C9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718"/>
    <w:rsid w:val="003D3424"/>
    <w:rsid w:val="00A81718"/>
    <w:rsid w:val="00DE6C97"/>
    <w:rsid w:val="00E43F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B117"/>
  <w15:docId w15:val="{FC4574C5-A30A-478C-AC35-034BE84E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81718"/>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A81718"/>
    <w:pPr>
      <w:spacing w:after="0" w:line="240" w:lineRule="auto"/>
    </w:pPr>
    <w:rPr>
      <w:rFonts w:ascii="Times New Roman" w:eastAsia="Times New Roman" w:hAnsi="Times New Roman" w:cs="Times New Roman"/>
      <w:sz w:val="24"/>
      <w:szCs w:val="20"/>
    </w:rPr>
  </w:style>
  <w:style w:type="paragraph" w:customStyle="1" w:styleId="Standard">
    <w:name w:val="Standard"/>
    <w:rsid w:val="00A81718"/>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Textbody">
    <w:name w:val="Text body"/>
    <w:basedOn w:val="Standard"/>
    <w:rsid w:val="00A8171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94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7853</Words>
  <Characters>4477</Characters>
  <Application>Microsoft Office Word</Application>
  <DocSecurity>0</DocSecurity>
  <Lines>37</Lines>
  <Paragraphs>24</Paragraphs>
  <ScaleCrop>false</ScaleCrop>
  <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„Windows“ vartotojas</cp:lastModifiedBy>
  <cp:revision>3</cp:revision>
  <dcterms:created xsi:type="dcterms:W3CDTF">2026-01-26T09:53:00Z</dcterms:created>
  <dcterms:modified xsi:type="dcterms:W3CDTF">2026-01-26T11:19:00Z</dcterms:modified>
</cp:coreProperties>
</file>